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B7B1" w14:textId="77777777" w:rsidR="007B0DD6" w:rsidRPr="00DC0E06" w:rsidRDefault="007B0DD6" w:rsidP="007B0DD6">
      <w:pPr>
        <w:pStyle w:val="DivisionName"/>
      </w:pPr>
      <w:r w:rsidRPr="00DC0E06">
        <w:rPr>
          <w:noProof/>
        </w:rPr>
        <w:drawing>
          <wp:anchor distT="0" distB="0" distL="114300" distR="114300" simplePos="0" relativeHeight="251651072" behindDoc="0" locked="0" layoutInCell="1" allowOverlap="1" wp14:anchorId="3B438AA0" wp14:editId="673D7EA0">
            <wp:simplePos x="0" y="0"/>
            <wp:positionH relativeFrom="column">
              <wp:posOffset>4322312</wp:posOffset>
            </wp:positionH>
            <wp:positionV relativeFrom="margin">
              <wp:posOffset>-141918</wp:posOffset>
            </wp:positionV>
            <wp:extent cx="2081354" cy="927748"/>
            <wp:effectExtent l="0" t="0" r="0" b="571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0E06">
        <w:t>Health Policy and Analytics</w:t>
      </w:r>
    </w:p>
    <w:p w14:paraId="3CBE8F5D" w14:textId="6E7391D0" w:rsidR="006F5524" w:rsidRPr="005E4E0E" w:rsidRDefault="007B0DD6" w:rsidP="005E4E0E">
      <w:pPr>
        <w:pStyle w:val="ProgramName"/>
        <w:ind w:right="72"/>
      </w:pPr>
      <w:r w:rsidRPr="00DC0E06">
        <w:t>Transformation Center</w:t>
      </w:r>
    </w:p>
    <w:p w14:paraId="4B970F04" w14:textId="67908512" w:rsidR="003657A5" w:rsidRPr="009561BC" w:rsidRDefault="003657A5" w:rsidP="009561BC">
      <w:pPr>
        <w:pStyle w:val="Heading1"/>
        <w:rPr>
          <w:sz w:val="40"/>
          <w:szCs w:val="22"/>
        </w:rPr>
      </w:pPr>
      <w:r w:rsidRPr="009561BC">
        <w:rPr>
          <w:sz w:val="40"/>
          <w:szCs w:val="22"/>
        </w:rPr>
        <w:t>Evaluative Criteria for 202</w:t>
      </w:r>
      <w:r w:rsidR="00DB26D5" w:rsidRPr="009561BC">
        <w:rPr>
          <w:sz w:val="40"/>
          <w:szCs w:val="22"/>
        </w:rPr>
        <w:t>6</w:t>
      </w:r>
      <w:r w:rsidRPr="009561BC">
        <w:rPr>
          <w:sz w:val="40"/>
          <w:szCs w:val="22"/>
        </w:rPr>
        <w:t xml:space="preserve"> VBP </w:t>
      </w:r>
      <w:r w:rsidR="00DB26D5" w:rsidRPr="009561BC">
        <w:rPr>
          <w:sz w:val="40"/>
          <w:szCs w:val="22"/>
        </w:rPr>
        <w:t>Data Template</w:t>
      </w:r>
    </w:p>
    <w:p w14:paraId="5CF89B7E" w14:textId="3586DE0E" w:rsidR="00522748" w:rsidRPr="00DC0E06" w:rsidRDefault="003C0687" w:rsidP="009561BC">
      <w:pPr>
        <w:spacing w:after="160" w:line="312" w:lineRule="auto"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 xml:space="preserve">In 2026, CCOs are required to submit the </w:t>
      </w:r>
      <w:r w:rsidR="00CE403B">
        <w:rPr>
          <w:rFonts w:ascii="Arial" w:eastAsia="Verdana" w:hAnsi="Arial" w:cs="Arial"/>
          <w:color w:val="000000" w:themeColor="text1"/>
        </w:rPr>
        <w:t>“</w:t>
      </w:r>
      <w:r>
        <w:rPr>
          <w:rFonts w:ascii="Arial" w:eastAsia="Verdana" w:hAnsi="Arial" w:cs="Arial"/>
          <w:color w:val="000000" w:themeColor="text1"/>
        </w:rPr>
        <w:t xml:space="preserve">PCPCH </w:t>
      </w:r>
      <w:r w:rsidR="00CE403B">
        <w:rPr>
          <w:rFonts w:ascii="Arial" w:eastAsia="Verdana" w:hAnsi="Arial" w:cs="Arial"/>
          <w:color w:val="000000" w:themeColor="text1"/>
        </w:rPr>
        <w:t xml:space="preserve">Payment” </w:t>
      </w:r>
      <w:r>
        <w:rPr>
          <w:rFonts w:ascii="Arial" w:eastAsia="Verdana" w:hAnsi="Arial" w:cs="Arial"/>
          <w:color w:val="000000" w:themeColor="text1"/>
        </w:rPr>
        <w:t xml:space="preserve">tab of the VBP Data Template to OHA by </w:t>
      </w:r>
      <w:r>
        <w:rPr>
          <w:rFonts w:ascii="Arial" w:eastAsia="Verdana" w:hAnsi="Arial" w:cs="Arial"/>
          <w:b/>
          <w:bCs/>
          <w:color w:val="000000" w:themeColor="text1"/>
        </w:rPr>
        <w:t xml:space="preserve">May 1, 2026. </w:t>
      </w:r>
      <w:r w:rsidRPr="00CE403B">
        <w:rPr>
          <w:rFonts w:ascii="Arial" w:eastAsia="Verdana" w:hAnsi="Arial" w:cs="Arial"/>
          <w:i/>
          <w:iCs/>
          <w:color w:val="000000" w:themeColor="text1"/>
        </w:rPr>
        <w:t xml:space="preserve">All other tabs of the VBP Data Template are optional in 2026 and will not be evaluated. </w:t>
      </w:r>
      <w:r>
        <w:rPr>
          <w:rFonts w:ascii="Arial" w:eastAsia="Verdana" w:hAnsi="Arial" w:cs="Arial"/>
          <w:color w:val="000000" w:themeColor="text1"/>
        </w:rPr>
        <w:t xml:space="preserve">The VBP Questionnaire that typically accompanies the VPB Data Template has also been waived. For more information about which VBP requirements have been waived in 2026, please see the </w:t>
      </w:r>
      <w:hyperlink r:id="rId12" w:history="1">
        <w:r w:rsidRPr="003C0687">
          <w:rPr>
            <w:rStyle w:val="Hyperlink"/>
            <w:rFonts w:ascii="Arial" w:eastAsia="Verdana" w:hAnsi="Arial" w:cs="Arial"/>
          </w:rPr>
          <w:t>memo sent to CCOs</w:t>
        </w:r>
      </w:hyperlink>
      <w:r>
        <w:rPr>
          <w:rFonts w:ascii="Arial" w:eastAsia="Verdana" w:hAnsi="Arial" w:cs="Arial"/>
          <w:color w:val="000000" w:themeColor="text1"/>
        </w:rPr>
        <w:t xml:space="preserve"> in November 2025.</w:t>
      </w:r>
    </w:p>
    <w:p w14:paraId="20B63D8E" w14:textId="0933A290" w:rsidR="00802953" w:rsidRPr="00DC0E06" w:rsidRDefault="00CE403B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 xml:space="preserve">The “PCPCH Payment” tab of the VBP Data Template will be evaluated for: </w:t>
      </w:r>
    </w:p>
    <w:p w14:paraId="3FAE4123" w14:textId="39985ABC" w:rsidR="00802953" w:rsidRPr="00DC0E06" w:rsidRDefault="00802953" w:rsidP="009561BC">
      <w:pPr>
        <w:pStyle w:val="ListParagraph"/>
        <w:numPr>
          <w:ilvl w:val="0"/>
          <w:numId w:val="4"/>
        </w:numPr>
        <w:spacing w:after="160" w:line="312" w:lineRule="auto"/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Completeness</w:t>
      </w:r>
    </w:p>
    <w:p w14:paraId="02727E17" w14:textId="4C8BEFA9" w:rsidR="00802953" w:rsidRPr="009561BC" w:rsidRDefault="00633361" w:rsidP="009561BC">
      <w:pPr>
        <w:pStyle w:val="ListParagraph"/>
        <w:numPr>
          <w:ilvl w:val="0"/>
          <w:numId w:val="4"/>
        </w:numPr>
        <w:spacing w:after="160" w:line="312" w:lineRule="auto"/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Progress in meeting requirements</w:t>
      </w:r>
    </w:p>
    <w:p w14:paraId="5B0BA69A" w14:textId="4C42CF19" w:rsidR="00991CA2" w:rsidRDefault="00803F15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 xml:space="preserve">Your CCO will be evaluated based on </w:t>
      </w:r>
      <w:proofErr w:type="gramStart"/>
      <w:r w:rsidRPr="00DC0E06">
        <w:rPr>
          <w:rFonts w:ascii="Arial" w:eastAsia="Verdana" w:hAnsi="Arial" w:cs="Arial"/>
          <w:color w:val="000000" w:themeColor="text1"/>
        </w:rPr>
        <w:t>whether or not</w:t>
      </w:r>
      <w:proofErr w:type="gramEnd"/>
      <w:r w:rsidRPr="00DC0E06">
        <w:rPr>
          <w:rFonts w:ascii="Arial" w:eastAsia="Verdana" w:hAnsi="Arial" w:cs="Arial"/>
          <w:color w:val="000000" w:themeColor="text1"/>
        </w:rPr>
        <w:t xml:space="preserve"> criteria are met in each of these areas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(“criteria met</w:t>
      </w:r>
      <w:r w:rsidR="00486A24">
        <w:rPr>
          <w:rFonts w:ascii="Arial" w:eastAsia="Verdana" w:hAnsi="Arial" w:cs="Arial"/>
          <w:color w:val="000000" w:themeColor="text1"/>
        </w:rPr>
        <w:t>” or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“criteria not met”).</w:t>
      </w:r>
      <w:r w:rsidR="00273FA8" w:rsidRPr="00DC0E06">
        <w:rPr>
          <w:rFonts w:ascii="Arial" w:eastAsia="Verdana" w:hAnsi="Arial" w:cs="Arial"/>
          <w:color w:val="000000" w:themeColor="text1"/>
        </w:rPr>
        <w:t xml:space="preserve"> </w:t>
      </w:r>
      <w:r w:rsidR="00F80107" w:rsidRPr="00DC0E06">
        <w:rPr>
          <w:rFonts w:ascii="Arial" w:eastAsia="Verdana" w:hAnsi="Arial" w:cs="Arial"/>
          <w:color w:val="000000" w:themeColor="text1"/>
        </w:rPr>
        <w:t xml:space="preserve">Guidance for meeting criteria in each area are provided below. </w:t>
      </w:r>
      <w:r w:rsidR="00AA2AD8" w:rsidRPr="00DC0E06">
        <w:rPr>
          <w:rFonts w:ascii="Arial" w:eastAsia="Verdana" w:hAnsi="Arial" w:cs="Arial"/>
          <w:color w:val="000000" w:themeColor="text1"/>
        </w:rPr>
        <w:t xml:space="preserve">Written feedback will be provided </w:t>
      </w:r>
      <w:r w:rsidR="00065BEF">
        <w:rPr>
          <w:rFonts w:ascii="Arial" w:eastAsia="Verdana" w:hAnsi="Arial" w:cs="Arial"/>
          <w:color w:val="000000" w:themeColor="text1"/>
        </w:rPr>
        <w:t xml:space="preserve">for each area. </w:t>
      </w:r>
    </w:p>
    <w:p w14:paraId="1A0D94CC" w14:textId="77777777" w:rsidR="00F4478A" w:rsidRDefault="00F4478A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  <w:sectPr w:rsidR="00F4478A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D84D52" w14:textId="77777777" w:rsidR="00F4478A" w:rsidRDefault="00F4478A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  <w:sectPr w:rsidR="00F4478A" w:rsidSect="00F447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05BCB4" w14:textId="160D51D6" w:rsidR="00F4478A" w:rsidRDefault="0035283B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color w:val="000000" w:themeColor="text1"/>
        </w:rPr>
      </w:pPr>
      <w:r>
        <w:rPr>
          <w:rFonts w:ascii="Arial" w:eastAsia="Verdana" w:hAnsi="Arial" w:cs="Arial"/>
          <w:b/>
          <w:bCs/>
          <w:color w:val="000000" w:themeColor="text1"/>
        </w:rPr>
        <w:t>Evaluative Criteria</w:t>
      </w:r>
    </w:p>
    <w:p w14:paraId="20DAD763" w14:textId="3CFE1393" w:rsidR="008669E9" w:rsidRDefault="008669E9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>Completeness</w:t>
      </w:r>
    </w:p>
    <w:p w14:paraId="6E3C6DF2" w14:textId="128CE85D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>Progress in meeting requirement</w:t>
      </w:r>
    </w:p>
    <w:p w14:paraId="4411723C" w14:textId="0BB38204" w:rsidR="008E71A4" w:rsidRPr="005E4E0E" w:rsidRDefault="008E71A4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color w:val="000000" w:themeColor="text1"/>
        </w:rPr>
      </w:pPr>
      <w:r w:rsidRPr="008669E9">
        <w:rPr>
          <w:rFonts w:ascii="Arial" w:eastAsia="Verdana" w:hAnsi="Arial" w:cs="Arial"/>
          <w:b/>
          <w:bCs/>
          <w:color w:val="000000" w:themeColor="text1"/>
        </w:rPr>
        <w:t>Criteria Met?</w:t>
      </w:r>
    </w:p>
    <w:p w14:paraId="6CB120CD" w14:textId="77777777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</w:p>
    <w:p w14:paraId="00C05F48" w14:textId="77777777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sz w:val="28"/>
          <w:szCs w:val="28"/>
        </w:rPr>
        <w:sectPr w:rsidR="008E71A4" w:rsidSect="00F4478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BA4D2D" w14:textId="77777777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  <w:u w:val="single"/>
        </w:rPr>
        <w:sectPr w:rsidR="008E71A4" w:rsidSect="008E7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C27D82" w14:textId="79A9C8EC" w:rsidR="009A3AD2" w:rsidRPr="009561BC" w:rsidRDefault="009A3AD2" w:rsidP="009561BC">
      <w:pPr>
        <w:spacing w:after="160" w:line="312" w:lineRule="auto"/>
        <w:rPr>
          <w:rFonts w:ascii="Arial" w:eastAsia="Verdana" w:hAnsi="Arial" w:cs="Arial"/>
          <w:b/>
          <w:bCs/>
          <w:color w:val="000000" w:themeColor="text1"/>
        </w:rPr>
      </w:pPr>
      <w:r w:rsidRPr="4AE58D2A">
        <w:rPr>
          <w:rFonts w:ascii="Arial" w:eastAsia="Verdana" w:hAnsi="Arial" w:cs="Arial"/>
          <w:b/>
          <w:bCs/>
          <w:color w:val="000000" w:themeColor="text1"/>
        </w:rPr>
        <w:t xml:space="preserve">Completeness: </w:t>
      </w:r>
      <w:r w:rsidRPr="4AE58D2A">
        <w:rPr>
          <w:rFonts w:ascii="Arial" w:eastAsia="Verdana" w:hAnsi="Arial" w:cs="Arial"/>
          <w:color w:val="000000" w:themeColor="text1"/>
        </w:rPr>
        <w:t>Is there a response for each highlighted cell</w:t>
      </w:r>
      <w:r>
        <w:rPr>
          <w:rFonts w:ascii="Arial" w:eastAsia="Verdana" w:hAnsi="Arial" w:cs="Arial"/>
          <w:color w:val="000000" w:themeColor="text1"/>
        </w:rPr>
        <w:t xml:space="preserve"> on the “PCPCH Payment” tab? </w:t>
      </w:r>
    </w:p>
    <w:p w14:paraId="6A55B7C5" w14:textId="77777777" w:rsidR="009A3AD2" w:rsidRPr="00752372" w:rsidRDefault="009A3AD2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color w:val="000000" w:themeColor="text1"/>
        </w:rPr>
      </w:pPr>
      <w:r w:rsidRPr="4AE58D2A">
        <w:rPr>
          <w:rFonts w:ascii="Arial" w:eastAsia="Verdana" w:hAnsi="Arial" w:cs="Arial"/>
          <w:b/>
          <w:bCs/>
          <w:color w:val="000000" w:themeColor="text1"/>
        </w:rPr>
        <w:t xml:space="preserve">Progress in meeting requirements: </w:t>
      </w:r>
      <w:r w:rsidRPr="4AE58D2A">
        <w:rPr>
          <w:rFonts w:ascii="Arial" w:eastAsia="Verdana" w:hAnsi="Arial" w:cs="Arial"/>
          <w:color w:val="000000" w:themeColor="text1"/>
        </w:rPr>
        <w:t xml:space="preserve">Is the CCO meeting the </w:t>
      </w:r>
      <w:r>
        <w:rPr>
          <w:rFonts w:ascii="Arial" w:eastAsia="Verdana" w:hAnsi="Arial" w:cs="Arial"/>
          <w:color w:val="000000" w:themeColor="text1"/>
        </w:rPr>
        <w:t>requirement</w:t>
      </w:r>
      <w:r w:rsidRPr="4AE58D2A">
        <w:rPr>
          <w:rFonts w:ascii="Arial" w:eastAsia="Verdana" w:hAnsi="Arial" w:cs="Arial"/>
          <w:color w:val="000000" w:themeColor="text1"/>
        </w:rPr>
        <w:t xml:space="preserve"> that higher tier PCPCH clinics receive higher payments than lower-tier PCPCH clinics? (Exhibit H, Section 3)</w:t>
      </w:r>
    </w:p>
    <w:sectPr w:rsidR="009A3AD2" w:rsidRPr="00752372" w:rsidSect="008E71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E563" w14:textId="77777777" w:rsidR="00814146" w:rsidRDefault="00814146" w:rsidP="00093474">
      <w:r>
        <w:separator/>
      </w:r>
    </w:p>
  </w:endnote>
  <w:endnote w:type="continuationSeparator" w:id="0">
    <w:p w14:paraId="44E9900C" w14:textId="77777777" w:rsidR="00814146" w:rsidRDefault="00814146" w:rsidP="00093474">
      <w:r>
        <w:continuationSeparator/>
      </w:r>
    </w:p>
  </w:endnote>
  <w:endnote w:type="continuationNotice" w:id="1">
    <w:p w14:paraId="16E23285" w14:textId="77777777" w:rsidR="00814146" w:rsidRDefault="00814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8175" w14:textId="77777777" w:rsidR="00071CDC" w:rsidRDefault="00071CDC">
    <w:pPr>
      <w:pStyle w:val="Footer"/>
    </w:pPr>
  </w:p>
  <w:p w14:paraId="5A91EE36" w14:textId="77777777" w:rsidR="0097168D" w:rsidRDefault="009716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56E9" w14:textId="77777777" w:rsidR="00814146" w:rsidRDefault="00814146" w:rsidP="00093474">
      <w:r>
        <w:separator/>
      </w:r>
    </w:p>
  </w:footnote>
  <w:footnote w:type="continuationSeparator" w:id="0">
    <w:p w14:paraId="589A5AD3" w14:textId="77777777" w:rsidR="00814146" w:rsidRDefault="00814146" w:rsidP="00093474">
      <w:r>
        <w:continuationSeparator/>
      </w:r>
    </w:p>
  </w:footnote>
  <w:footnote w:type="continuationNotice" w:id="1">
    <w:p w14:paraId="42ADF36F" w14:textId="77777777" w:rsidR="00814146" w:rsidRDefault="00814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BCE"/>
    <w:multiLevelType w:val="hybridMultilevel"/>
    <w:tmpl w:val="A498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AEC"/>
    <w:multiLevelType w:val="hybridMultilevel"/>
    <w:tmpl w:val="E6C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A3E"/>
    <w:multiLevelType w:val="hybridMultilevel"/>
    <w:tmpl w:val="522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21F48"/>
    <w:multiLevelType w:val="hybridMultilevel"/>
    <w:tmpl w:val="7606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691">
    <w:abstractNumId w:val="2"/>
  </w:num>
  <w:num w:numId="2" w16cid:durableId="1221748446">
    <w:abstractNumId w:val="3"/>
  </w:num>
  <w:num w:numId="3" w16cid:durableId="341593684">
    <w:abstractNumId w:val="0"/>
  </w:num>
  <w:num w:numId="4" w16cid:durableId="25987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6"/>
    <w:rsid w:val="00013C4E"/>
    <w:rsid w:val="000422F2"/>
    <w:rsid w:val="00047DF9"/>
    <w:rsid w:val="00065BEF"/>
    <w:rsid w:val="00071CDC"/>
    <w:rsid w:val="000808D9"/>
    <w:rsid w:val="00093474"/>
    <w:rsid w:val="000A1BD8"/>
    <w:rsid w:val="000A37D5"/>
    <w:rsid w:val="000B515B"/>
    <w:rsid w:val="000D1A45"/>
    <w:rsid w:val="000F4E53"/>
    <w:rsid w:val="000F7E9A"/>
    <w:rsid w:val="00107345"/>
    <w:rsid w:val="00112B87"/>
    <w:rsid w:val="001221BB"/>
    <w:rsid w:val="00143DCD"/>
    <w:rsid w:val="00153A02"/>
    <w:rsid w:val="001B71B1"/>
    <w:rsid w:val="001F7313"/>
    <w:rsid w:val="0022477B"/>
    <w:rsid w:val="002247B0"/>
    <w:rsid w:val="002321CE"/>
    <w:rsid w:val="0023420F"/>
    <w:rsid w:val="002354D6"/>
    <w:rsid w:val="00235D96"/>
    <w:rsid w:val="0023762E"/>
    <w:rsid w:val="00273902"/>
    <w:rsid w:val="00273FA8"/>
    <w:rsid w:val="002A1C4D"/>
    <w:rsid w:val="002E1326"/>
    <w:rsid w:val="00315DF0"/>
    <w:rsid w:val="003233A7"/>
    <w:rsid w:val="0035283B"/>
    <w:rsid w:val="00356A63"/>
    <w:rsid w:val="00361AAE"/>
    <w:rsid w:val="003648AE"/>
    <w:rsid w:val="003657A5"/>
    <w:rsid w:val="0037036C"/>
    <w:rsid w:val="003747BE"/>
    <w:rsid w:val="003B0F2F"/>
    <w:rsid w:val="003B3400"/>
    <w:rsid w:val="003C0687"/>
    <w:rsid w:val="003D6368"/>
    <w:rsid w:val="003E1144"/>
    <w:rsid w:val="003E4FE4"/>
    <w:rsid w:val="003F0154"/>
    <w:rsid w:val="003F36F3"/>
    <w:rsid w:val="004070CA"/>
    <w:rsid w:val="0042245E"/>
    <w:rsid w:val="004420C6"/>
    <w:rsid w:val="00454C6E"/>
    <w:rsid w:val="00456EF8"/>
    <w:rsid w:val="00471849"/>
    <w:rsid w:val="0047502A"/>
    <w:rsid w:val="004869E0"/>
    <w:rsid w:val="00486A24"/>
    <w:rsid w:val="004A6DB5"/>
    <w:rsid w:val="004E1FFF"/>
    <w:rsid w:val="00522748"/>
    <w:rsid w:val="005427E4"/>
    <w:rsid w:val="00542B8D"/>
    <w:rsid w:val="00551D82"/>
    <w:rsid w:val="0057108C"/>
    <w:rsid w:val="00580385"/>
    <w:rsid w:val="00584188"/>
    <w:rsid w:val="0058630F"/>
    <w:rsid w:val="005C0EFC"/>
    <w:rsid w:val="005C7320"/>
    <w:rsid w:val="005D2355"/>
    <w:rsid w:val="005E2850"/>
    <w:rsid w:val="005E4E0E"/>
    <w:rsid w:val="005E7F7D"/>
    <w:rsid w:val="005F2250"/>
    <w:rsid w:val="0060338A"/>
    <w:rsid w:val="00612104"/>
    <w:rsid w:val="00615843"/>
    <w:rsid w:val="0061588E"/>
    <w:rsid w:val="006208F3"/>
    <w:rsid w:val="00625832"/>
    <w:rsid w:val="00633361"/>
    <w:rsid w:val="0063764E"/>
    <w:rsid w:val="006404E9"/>
    <w:rsid w:val="0065358F"/>
    <w:rsid w:val="00654E1D"/>
    <w:rsid w:val="006665B9"/>
    <w:rsid w:val="006811FD"/>
    <w:rsid w:val="00686F8D"/>
    <w:rsid w:val="006B73F7"/>
    <w:rsid w:val="006C126E"/>
    <w:rsid w:val="006C1A9F"/>
    <w:rsid w:val="006D0305"/>
    <w:rsid w:val="006D12A3"/>
    <w:rsid w:val="006D696E"/>
    <w:rsid w:val="006E6889"/>
    <w:rsid w:val="006F5524"/>
    <w:rsid w:val="006F5D16"/>
    <w:rsid w:val="006F7DB9"/>
    <w:rsid w:val="007125BF"/>
    <w:rsid w:val="00716C93"/>
    <w:rsid w:val="007235F4"/>
    <w:rsid w:val="00750333"/>
    <w:rsid w:val="0075189D"/>
    <w:rsid w:val="00752372"/>
    <w:rsid w:val="00783BBE"/>
    <w:rsid w:val="00791BFC"/>
    <w:rsid w:val="007B0C65"/>
    <w:rsid w:val="007B0DD6"/>
    <w:rsid w:val="007C34DC"/>
    <w:rsid w:val="007D0734"/>
    <w:rsid w:val="007D3309"/>
    <w:rsid w:val="007E470F"/>
    <w:rsid w:val="007E7F6D"/>
    <w:rsid w:val="007F22BC"/>
    <w:rsid w:val="007F5DF3"/>
    <w:rsid w:val="00802953"/>
    <w:rsid w:val="00803F15"/>
    <w:rsid w:val="008127A8"/>
    <w:rsid w:val="00814146"/>
    <w:rsid w:val="00824372"/>
    <w:rsid w:val="00841CBD"/>
    <w:rsid w:val="00861F8A"/>
    <w:rsid w:val="00866986"/>
    <w:rsid w:val="008669E9"/>
    <w:rsid w:val="0086772A"/>
    <w:rsid w:val="008714F7"/>
    <w:rsid w:val="00882B10"/>
    <w:rsid w:val="008A33D0"/>
    <w:rsid w:val="008A46AF"/>
    <w:rsid w:val="008A76FD"/>
    <w:rsid w:val="008C2AD9"/>
    <w:rsid w:val="008C4DBC"/>
    <w:rsid w:val="008E71A4"/>
    <w:rsid w:val="00932944"/>
    <w:rsid w:val="009561BC"/>
    <w:rsid w:val="009707EF"/>
    <w:rsid w:val="0097168D"/>
    <w:rsid w:val="00982ADA"/>
    <w:rsid w:val="00991CA2"/>
    <w:rsid w:val="00991FED"/>
    <w:rsid w:val="009953A0"/>
    <w:rsid w:val="009A3AD2"/>
    <w:rsid w:val="009B6FCE"/>
    <w:rsid w:val="009C17EB"/>
    <w:rsid w:val="009C56DF"/>
    <w:rsid w:val="009D0FA7"/>
    <w:rsid w:val="009D7754"/>
    <w:rsid w:val="009F6972"/>
    <w:rsid w:val="00A1085B"/>
    <w:rsid w:val="00A22E15"/>
    <w:rsid w:val="00A301C3"/>
    <w:rsid w:val="00A36DDA"/>
    <w:rsid w:val="00A519F6"/>
    <w:rsid w:val="00AA2AD8"/>
    <w:rsid w:val="00AA771F"/>
    <w:rsid w:val="00AA78C2"/>
    <w:rsid w:val="00AC78A6"/>
    <w:rsid w:val="00AE4681"/>
    <w:rsid w:val="00AE7B35"/>
    <w:rsid w:val="00B16010"/>
    <w:rsid w:val="00B1605E"/>
    <w:rsid w:val="00B23ED8"/>
    <w:rsid w:val="00B32399"/>
    <w:rsid w:val="00B436A0"/>
    <w:rsid w:val="00B75935"/>
    <w:rsid w:val="00B836E4"/>
    <w:rsid w:val="00BA000F"/>
    <w:rsid w:val="00BB4461"/>
    <w:rsid w:val="00BB6A52"/>
    <w:rsid w:val="00BC58AE"/>
    <w:rsid w:val="00BC7B86"/>
    <w:rsid w:val="00BD2C00"/>
    <w:rsid w:val="00C14EE3"/>
    <w:rsid w:val="00C21E0B"/>
    <w:rsid w:val="00C242CE"/>
    <w:rsid w:val="00C26E93"/>
    <w:rsid w:val="00C328E4"/>
    <w:rsid w:val="00C55ADF"/>
    <w:rsid w:val="00C646AE"/>
    <w:rsid w:val="00C72340"/>
    <w:rsid w:val="00C810A3"/>
    <w:rsid w:val="00C91718"/>
    <w:rsid w:val="00CA1F1B"/>
    <w:rsid w:val="00CA2B38"/>
    <w:rsid w:val="00CA2D54"/>
    <w:rsid w:val="00CB068B"/>
    <w:rsid w:val="00CB16AB"/>
    <w:rsid w:val="00CB5B08"/>
    <w:rsid w:val="00CC752B"/>
    <w:rsid w:val="00CD7267"/>
    <w:rsid w:val="00CD7D97"/>
    <w:rsid w:val="00CE403B"/>
    <w:rsid w:val="00CE5F9A"/>
    <w:rsid w:val="00CF2F7A"/>
    <w:rsid w:val="00D14055"/>
    <w:rsid w:val="00D447C0"/>
    <w:rsid w:val="00D51730"/>
    <w:rsid w:val="00D522C2"/>
    <w:rsid w:val="00D52F0C"/>
    <w:rsid w:val="00D6149B"/>
    <w:rsid w:val="00D64F23"/>
    <w:rsid w:val="00D86E11"/>
    <w:rsid w:val="00D9766C"/>
    <w:rsid w:val="00DA2A9F"/>
    <w:rsid w:val="00DA2EC1"/>
    <w:rsid w:val="00DB26D5"/>
    <w:rsid w:val="00DC0E06"/>
    <w:rsid w:val="00DC35B6"/>
    <w:rsid w:val="00DC4AAA"/>
    <w:rsid w:val="00DF3D7F"/>
    <w:rsid w:val="00E166FA"/>
    <w:rsid w:val="00E242A8"/>
    <w:rsid w:val="00E37599"/>
    <w:rsid w:val="00E42C91"/>
    <w:rsid w:val="00E46860"/>
    <w:rsid w:val="00E50C30"/>
    <w:rsid w:val="00E713B4"/>
    <w:rsid w:val="00E71926"/>
    <w:rsid w:val="00E83978"/>
    <w:rsid w:val="00EA0685"/>
    <w:rsid w:val="00EA4F28"/>
    <w:rsid w:val="00EB78AF"/>
    <w:rsid w:val="00EC160E"/>
    <w:rsid w:val="00EC5D35"/>
    <w:rsid w:val="00EF5CB3"/>
    <w:rsid w:val="00F328AC"/>
    <w:rsid w:val="00F4478A"/>
    <w:rsid w:val="00F80107"/>
    <w:rsid w:val="00F82CCA"/>
    <w:rsid w:val="00F879B0"/>
    <w:rsid w:val="00F95463"/>
    <w:rsid w:val="00FA7203"/>
    <w:rsid w:val="00FA7E4D"/>
    <w:rsid w:val="00FB159E"/>
    <w:rsid w:val="00FB1D72"/>
    <w:rsid w:val="00FB68F0"/>
    <w:rsid w:val="00FC3D3C"/>
    <w:rsid w:val="00FC6DA3"/>
    <w:rsid w:val="00FC7C90"/>
    <w:rsid w:val="00FD3E5A"/>
    <w:rsid w:val="00FD6ABF"/>
    <w:rsid w:val="00FF394C"/>
    <w:rsid w:val="04FB03D1"/>
    <w:rsid w:val="04FBF47A"/>
    <w:rsid w:val="09306F9A"/>
    <w:rsid w:val="148F10C4"/>
    <w:rsid w:val="14E142E3"/>
    <w:rsid w:val="15BF4A7B"/>
    <w:rsid w:val="166987CA"/>
    <w:rsid w:val="2AA4076E"/>
    <w:rsid w:val="2B546409"/>
    <w:rsid w:val="2CFE7F1B"/>
    <w:rsid w:val="30833A35"/>
    <w:rsid w:val="346D5EFB"/>
    <w:rsid w:val="34E588E4"/>
    <w:rsid w:val="359C8A1A"/>
    <w:rsid w:val="43A606FF"/>
    <w:rsid w:val="4AE58D2A"/>
    <w:rsid w:val="4BDFA010"/>
    <w:rsid w:val="4C75F378"/>
    <w:rsid w:val="4F826295"/>
    <w:rsid w:val="4FE16C6E"/>
    <w:rsid w:val="61510E04"/>
    <w:rsid w:val="7483AF21"/>
    <w:rsid w:val="77847477"/>
    <w:rsid w:val="7B6E8FE5"/>
    <w:rsid w:val="7D3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52FD"/>
  <w15:chartTrackingRefBased/>
  <w15:docId w15:val="{74B05FF5-B551-4BBD-9D98-6AAE5F0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3B"/>
    <w:rPr>
      <w:sz w:val="24"/>
      <w:szCs w:val="24"/>
    </w:rPr>
  </w:style>
  <w:style w:type="paragraph" w:styleId="Heading1">
    <w:name w:val="heading 1"/>
    <w:next w:val="Normal"/>
    <w:link w:val="Heading1Char"/>
    <w:uiPriority w:val="1"/>
    <w:rsid w:val="006F5524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26"/>
    <w:pPr>
      <w:ind w:left="720"/>
      <w:contextualSpacing/>
    </w:pPr>
  </w:style>
  <w:style w:type="table" w:styleId="TableGrid">
    <w:name w:val="Table Grid"/>
    <w:basedOn w:val="TableNormal"/>
    <w:uiPriority w:val="39"/>
    <w:rsid w:val="00AC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8F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F8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47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F5524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character" w:styleId="Strong">
    <w:name w:val="Strong"/>
    <w:basedOn w:val="DefaultParagraphFont"/>
    <w:uiPriority w:val="9"/>
    <w:rsid w:val="006F5524"/>
    <w:rPr>
      <w:b/>
      <w:bCs/>
    </w:rPr>
  </w:style>
  <w:style w:type="paragraph" w:customStyle="1" w:styleId="DivisionName">
    <w:name w:val="Division Name"/>
    <w:uiPriority w:val="3"/>
    <w:qFormat/>
    <w:rsid w:val="006F5524"/>
    <w:pPr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6F5524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eastAsia="Calibri" w:hAnsi="Arial" w:cs="Arial"/>
      <w:color w:val="FFFFFF" w:themeColor="background1"/>
      <w:sz w:val="24"/>
      <w:szCs w:val="26"/>
    </w:rPr>
  </w:style>
  <w:style w:type="paragraph" w:customStyle="1" w:styleId="LastPageProgramInfoBox">
    <w:name w:val="LastPage Program InfoBox"/>
    <w:uiPriority w:val="6"/>
    <w:qFormat/>
    <w:rsid w:val="006F5524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eastAsia="Calibri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F5524"/>
    <w:rPr>
      <w:color w:val="FFFFFF" w:themeColor="backgroun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Announcements/final%202026%20VBP%20reqmts%20waiver%201107202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Financial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Evaluation criteria</documentType>
    <Meta_x0020_Keywords xmlns="47be7094-86b6-4c75-87da-a9bfd340ff09" xsi:nil="true"/>
    <URL xmlns="http://schemas.microsoft.com/sharepoint/v3">
      <Url>https://www.oregon.gov/oha/HSD/OHP/CCO/VBP-Deliverables-Evaluative-Criteria_UPDATED 1.30.2026.docx</Url>
      <Description>VBP Evaluative Criteria for 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31DDF074-EB4D-41BE-BBEC-232BC07AF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FB0F6-135F-4870-94A0-1CE4B2F0A1E4}"/>
</file>

<file path=customXml/itemProps3.xml><?xml version="1.0" encoding="utf-8"?>
<ds:datastoreItem xmlns:ds="http://schemas.openxmlformats.org/officeDocument/2006/customXml" ds:itemID="{952431AC-1B9F-4856-9F7A-7E90211DD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E762C8-7A3B-42B0-878F-9E39FC00320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59da1016-2a1b-4f8a-9768-d7a4932f6f16"/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e5f1ac6e-e8e1-4751-aa4e-20d14744385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VBP Deliverables Evaluative Criteria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VBP Evaluative Criteria for 2026</dc:title>
  <dc:subject>2026 VBP Deliverables Evaluative Criteria</dc:subject>
  <dc:creator>Oregon Health Authority Transformation Center</dc:creator>
  <cp:keywords/>
  <dc:description/>
  <cp:lastModifiedBy>Boslaugh Summer H</cp:lastModifiedBy>
  <cp:revision>2</cp:revision>
  <dcterms:created xsi:type="dcterms:W3CDTF">2026-01-31T00:25:00Z</dcterms:created>
  <dcterms:modified xsi:type="dcterms:W3CDTF">2026-01-31T00:25:00Z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2024-01-30T21:56:38Z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80bbf69f-1bac-425d-89c4-2addd7db6ba0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94a13aca-3094-49fd-9950-7513a1911c7a,9;dff07ce7-2fe0-44e5-9d33-eb01c4950507,4;</vt:lpwstr>
  </property>
</Properties>
</file>